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jc w:val="center"/>
        <w:rPr>
          <w:rFonts w:ascii="Verdana" w:hAnsi="Verdana"/>
          <w:color w:val="333399"/>
          <w:sz w:val="28"/>
          <w:szCs w:val="28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45910" cy="7505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333399"/>
          <w:sz w:val="28"/>
          <w:szCs w:val="28"/>
        </w:rPr>
        <w:t xml:space="preserve">* Webinaire * des Groupes Professionnels </w:t>
      </w:r>
    </w:p>
    <w:p>
      <w:pPr>
        <w:pStyle w:val="Normal"/>
        <w:jc w:val="center"/>
        <w:rPr/>
      </w:pPr>
      <w:r>
        <w:rPr>
          <w:rFonts w:ascii="Verdana" w:hAnsi="Verdana"/>
          <w:color w:val="333399"/>
          <w:sz w:val="28"/>
          <w:szCs w:val="28"/>
        </w:rPr>
        <w:t>Centrale-Energies, HEC Transition et SciencesPo</w:t>
      </w:r>
      <w:r>
        <w:rPr>
          <w:rFonts w:cs="Arial" w:ascii="Arial" w:hAnsi="Arial"/>
          <w:b/>
          <w:bCs/>
          <w:sz w:val="24"/>
          <w:szCs w:val="24"/>
          <w:shd w:fill="FFFFFF" w:val="clear"/>
        </w:rPr>
        <w:t xml:space="preserve"> </w:t>
      </w:r>
      <w:r>
        <w:rPr>
          <w:rFonts w:eastAsia="Calibri" w:cs="" w:ascii="Verdana" w:hAnsi="Verdana"/>
          <w:color w:val="333399"/>
          <w:kern w:val="2"/>
          <w:sz w:val="28"/>
          <w:szCs w:val="28"/>
          <w:lang w:val="fr-FR" w:eastAsia="en-US" w:bidi="ar-SA"/>
        </w:rPr>
        <w:t xml:space="preserve"> Energie, Infrastructure et Mobilités</w:t>
        <w:tab/>
      </w:r>
    </w:p>
    <w:p>
      <w:pPr>
        <w:pStyle w:val="Normal"/>
        <w:spacing w:before="0" w:after="57"/>
        <w:jc w:val="center"/>
        <w:rPr>
          <w:rFonts w:ascii="Arial" w:hAnsi="Arial" w:cs="Arial"/>
          <w:b/>
          <w:bCs/>
          <w:i/>
          <w:i/>
          <w:iCs/>
          <w:color w:val="C00000"/>
          <w:sz w:val="32"/>
          <w:szCs w:val="32"/>
          <w:shd w:fill="FFFFFF" w:val="clear"/>
        </w:rPr>
      </w:pPr>
      <w:r>
        <w:rPr>
          <w:rFonts w:cs="Arial" w:ascii="Arial" w:hAnsi="Arial"/>
          <w:b/>
          <w:bCs/>
          <w:i/>
          <w:iCs/>
          <w:color w:val="C00000"/>
          <w:sz w:val="32"/>
          <w:szCs w:val="32"/>
          <w:shd w:fill="FFFFFF" w:val="clear"/>
        </w:rPr>
        <w:t>Le recyclage des éoliennes en France</w:t>
      </w:r>
      <w:bookmarkStart w:id="0" w:name="_Hlk153486724"/>
      <w:r>
        <w:rPr>
          <w:rFonts w:cs="Arial" w:ascii="Arial" w:hAnsi="Arial"/>
          <w:b/>
          <w:bCs/>
          <w:i/>
          <w:iCs/>
          <w:color w:val="C00000"/>
          <w:sz w:val="32"/>
          <w:szCs w:val="32"/>
          <w:shd w:fill="FFFFFF" w:val="clear"/>
        </w:rPr>
        <w:t xml:space="preserve">                                                                    </w:t>
      </w:r>
      <w:bookmarkEnd w:id="0"/>
    </w:p>
    <w:p>
      <w:pPr>
        <w:pStyle w:val="Normal"/>
        <w:jc w:val="both"/>
        <w:rPr/>
      </w:pPr>
      <w:r>
        <w:rPr>
          <w:rFonts w:ascii="IBM Plex Sans Medium" w:hAnsi="IBM Plex Sans Medium"/>
          <w:sz w:val="18"/>
          <w:szCs w:val="18"/>
          <w:lang w:val="fr-FR"/>
        </w:rPr>
        <w:t xml:space="preserve">Le développement de l'énergie éolienne a joué un rôle crucial dans la transition vers des sources d'énergie renouvelables. Cependant, encore aujourd'hui,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 xml:space="preserve">l'impact environnemental des éoliennes, </w:t>
      </w:r>
      <w:r>
        <w:rPr>
          <w:rFonts w:ascii="IBM Plex Sans Medium" w:hAnsi="IBM Plex Sans Medium"/>
          <w:sz w:val="18"/>
          <w:szCs w:val="18"/>
          <w:lang w:val="fr-FR"/>
        </w:rPr>
        <w:t>en particulier des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 xml:space="preserve"> pâles, fait débat</w:t>
      </w:r>
      <w:r>
        <w:rPr>
          <w:rFonts w:ascii="IBM Plex Sans Medium" w:hAnsi="IBM Plex Sans Medium"/>
          <w:sz w:val="18"/>
          <w:szCs w:val="18"/>
          <w:lang w:val="fr-FR"/>
        </w:rPr>
        <w:t xml:space="preserve">, notamment en ce qui concerne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l'utilisation de matériaux et leur recyclage</w:t>
      </w:r>
      <w:r>
        <w:rPr>
          <w:rFonts w:ascii="IBM Plex Sans Medium" w:hAnsi="IBM Plex Sans Medium"/>
          <w:sz w:val="18"/>
          <w:szCs w:val="18"/>
          <w:lang w:val="fr-FR"/>
        </w:rPr>
        <w:t xml:space="preserve">. En France, en 2025, on estime à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200 MW par an</w:t>
      </w:r>
      <w:r>
        <w:rPr>
          <w:rFonts w:ascii="IBM Plex Sans Medium" w:hAnsi="IBM Plex Sans Medium"/>
          <w:sz w:val="18"/>
          <w:szCs w:val="18"/>
          <w:lang w:val="fr-FR"/>
        </w:rPr>
        <w:t xml:space="preserve"> la puissance cumulée des éoliennes en fin de vie, un chiffre qui devrait atteindre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1 GW à partir de 2028</w:t>
      </w:r>
      <w:r>
        <w:rPr>
          <w:rFonts w:ascii="IBM Plex Sans Medium" w:hAnsi="IBM Plex Sans Medium"/>
          <w:sz w:val="18"/>
          <w:szCs w:val="18"/>
          <w:lang w:val="fr-FR"/>
        </w:rPr>
        <w:t>.</w:t>
      </w:r>
    </w:p>
    <w:p>
      <w:pPr>
        <w:pStyle w:val="Normal"/>
        <w:spacing w:before="0" w:after="57"/>
        <w:rPr>
          <w:rFonts w:ascii="IBM Plex Sans Medium" w:hAnsi="IBM Plex Sans Medium"/>
          <w:sz w:val="18"/>
          <w:szCs w:val="18"/>
          <w:lang w:val="fr-FR"/>
        </w:rPr>
      </w:pPr>
      <w:r>
        <w:rPr>
          <w:rFonts w:ascii="IBM Plex Sans Medium" w:hAnsi="IBM Plex Sans Medium"/>
          <w:sz w:val="18"/>
          <w:szCs w:val="18"/>
          <w:lang w:val="fr-FR"/>
        </w:rPr>
        <w:t>A l’occasion d’une cette conférence, nos intervenants (voir ci-dessous) aborderons les problématiques suivantes :</w:t>
      </w:r>
    </w:p>
    <w:p>
      <w:pPr>
        <w:pStyle w:val="Normal"/>
        <w:numPr>
          <w:ilvl w:val="0"/>
          <w:numId w:val="1"/>
        </w:numPr>
        <w:spacing w:before="0" w:after="57"/>
        <w:jc w:val="left"/>
        <w:rPr/>
      </w:pPr>
      <w:r>
        <w:rPr>
          <w:rFonts w:ascii="IBM Plex Sans Medium" w:hAnsi="IBM Plex Sans Medium"/>
          <w:sz w:val="18"/>
          <w:szCs w:val="18"/>
          <w:lang w:val="fr-FR"/>
        </w:rPr>
        <w:t xml:space="preserve">Quels sont les enjeux, le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cadre légal</w:t>
      </w:r>
      <w:r>
        <w:rPr>
          <w:rFonts w:ascii="IBM Plex Sans Medium" w:hAnsi="IBM Plex Sans Medium"/>
          <w:sz w:val="18"/>
          <w:szCs w:val="18"/>
          <w:lang w:val="fr-FR"/>
        </w:rPr>
        <w:t xml:space="preserve"> et la situation en France du recyclage des éoliennes ?</w:t>
      </w:r>
    </w:p>
    <w:p>
      <w:pPr>
        <w:pStyle w:val="Normal"/>
        <w:numPr>
          <w:ilvl w:val="0"/>
          <w:numId w:val="1"/>
        </w:numPr>
        <w:spacing w:before="0" w:after="57"/>
        <w:rPr/>
      </w:pPr>
      <w:r>
        <w:rPr>
          <w:rFonts w:ascii="IBM Plex Sans Medium" w:hAnsi="IBM Plex Sans Medium"/>
          <w:sz w:val="18"/>
          <w:szCs w:val="18"/>
          <w:lang w:val="fr-FR"/>
        </w:rPr>
        <w:t xml:space="preserve">Quel est le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 xml:space="preserve">panorama de la filière du recyclage </w:t>
      </w:r>
      <w:r>
        <w:rPr>
          <w:rFonts w:ascii="IBM Plex Sans Medium" w:hAnsi="IBM Plex Sans Medium"/>
          <w:sz w:val="18"/>
          <w:szCs w:val="18"/>
          <w:lang w:val="fr-FR"/>
        </w:rPr>
        <w:t>et quels sont les principaux acteurs ?</w:t>
      </w:r>
    </w:p>
    <w:p>
      <w:pPr>
        <w:pStyle w:val="Normal"/>
        <w:numPr>
          <w:ilvl w:val="0"/>
          <w:numId w:val="1"/>
        </w:numPr>
        <w:spacing w:before="0" w:after="57"/>
        <w:rPr/>
      </w:pPr>
      <w:r>
        <w:rPr>
          <w:rFonts w:ascii="IBM Plex Sans Medium" w:hAnsi="IBM Plex Sans Medium"/>
          <w:sz w:val="18"/>
          <w:szCs w:val="18"/>
          <w:lang w:val="fr-FR"/>
        </w:rPr>
        <w:t xml:space="preserve">Quels sont les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principaux débouchés des matériaux recyclés</w:t>
      </w:r>
      <w:r>
        <w:rPr>
          <w:rFonts w:ascii="IBM Plex Sans Medium" w:hAnsi="IBM Plex Sans Medium"/>
          <w:sz w:val="18"/>
          <w:szCs w:val="18"/>
          <w:lang w:val="fr-FR"/>
        </w:rPr>
        <w:t xml:space="preserve"> ? Comment mesurer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l'efficacité et le caractère durable des filières de recyclage</w:t>
      </w:r>
      <w:r>
        <w:rPr>
          <w:rFonts w:ascii="IBM Plex Sans Medium" w:hAnsi="IBM Plex Sans Medium"/>
          <w:sz w:val="18"/>
          <w:szCs w:val="18"/>
          <w:lang w:val="fr-FR"/>
        </w:rPr>
        <w:t xml:space="preserve"> ?</w:t>
      </w:r>
    </w:p>
    <w:p>
      <w:pPr>
        <w:pStyle w:val="Normal"/>
        <w:numPr>
          <w:ilvl w:val="0"/>
          <w:numId w:val="1"/>
        </w:numPr>
        <w:spacing w:before="0" w:after="57"/>
        <w:rPr/>
      </w:pPr>
      <w:r>
        <w:rPr>
          <w:rFonts w:ascii="IBM Plex Sans Medium" w:hAnsi="IBM Plex Sans Medium"/>
          <w:sz w:val="18"/>
          <w:szCs w:val="18"/>
          <w:lang w:val="fr-FR"/>
        </w:rPr>
        <w:t xml:space="preserve">Quel est le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point de vue des développeurs et exploitants de parcs éoliens</w:t>
      </w:r>
      <w:r>
        <w:rPr>
          <w:rFonts w:ascii="IBM Plex Sans Medium" w:hAnsi="IBM Plex Sans Medium"/>
          <w:sz w:val="18"/>
          <w:szCs w:val="18"/>
          <w:lang w:val="fr-FR"/>
        </w:rPr>
        <w:t xml:space="preserve"> ?</w:t>
      </w:r>
    </w:p>
    <w:p>
      <w:pPr>
        <w:pStyle w:val="Normal"/>
        <w:numPr>
          <w:ilvl w:val="0"/>
          <w:numId w:val="1"/>
        </w:numPr>
        <w:spacing w:before="0" w:after="57"/>
        <w:rPr/>
      </w:pPr>
      <w:r>
        <w:rPr>
          <w:rFonts w:ascii="IBM Plex Sans Medium" w:hAnsi="IBM Plex Sans Medium"/>
          <w:sz w:val="18"/>
          <w:szCs w:val="18"/>
          <w:lang w:val="fr-FR"/>
        </w:rPr>
        <w:t xml:space="preserve">Quels sont les </w:t>
      </w:r>
      <w:r>
        <w:rPr>
          <w:rFonts w:ascii="IBM Plex Sans Medium" w:hAnsi="IBM Plex Sans Medium"/>
          <w:b/>
          <w:bCs/>
          <w:sz w:val="18"/>
          <w:szCs w:val="18"/>
          <w:lang w:val="fr-FR"/>
        </w:rPr>
        <w:t>défis techniques et technologiques</w:t>
      </w:r>
      <w:r>
        <w:rPr>
          <w:rFonts w:ascii="IBM Plex Sans Medium" w:hAnsi="IBM Plex Sans Medium"/>
          <w:sz w:val="18"/>
          <w:szCs w:val="18"/>
          <w:lang w:val="fr-FR"/>
        </w:rPr>
        <w:t xml:space="preserve"> auxquels la filière est confrontée ?</w:t>
      </w:r>
    </w:p>
    <w:p>
      <w:pPr>
        <w:pStyle w:val="Normal"/>
        <w:numPr>
          <w:ilvl w:val="0"/>
          <w:numId w:val="0"/>
        </w:numPr>
        <w:spacing w:before="0" w:after="57"/>
        <w:ind w:hanging="0" w:left="1068"/>
        <w:rPr>
          <w:rFonts w:ascii="IBM Plex Sans Medium" w:hAnsi="IBM Plex Sans Medium"/>
          <w:sz w:val="18"/>
          <w:szCs w:val="18"/>
          <w:lang w:val="fr-FR"/>
        </w:rPr>
      </w:pPr>
      <w:r>
        <w:rPr>
          <w:rFonts w:ascii="IBM Plex Sans Medium" w:hAnsi="IBM Plex Sans Medium"/>
          <w:sz w:val="18"/>
          <w:szCs w:val="18"/>
          <w:lang w:val="fr-FR"/>
        </w:rPr>
      </w:r>
    </w:p>
    <w:tbl>
      <w:tblPr>
        <w:tblStyle w:val="Grilledutableau"/>
        <w:tblW w:w="1030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94"/>
        <w:gridCol w:w="2551"/>
        <w:gridCol w:w="2835"/>
        <w:gridCol w:w="2039"/>
        <w:gridCol w:w="240"/>
        <w:gridCol w:w="45"/>
      </w:tblGrid>
      <w:tr>
        <w:trPr>
          <w:trHeight w:val="270" w:hRule="atLeast"/>
        </w:trPr>
        <w:tc>
          <w:tcPr>
            <w:tcW w:w="259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shd w:fill="FFFFFF" w:val="clear"/>
                <w:lang w:val="fr-FR" w:eastAsia="en-US" w:bidi="ar-SA"/>
              </w:rPr>
              <w:t>Laurie Gilbert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shd w:fill="FFFFFF" w:val="clear"/>
                <w:lang w:val="fr-FR" w:eastAsia="en-US" w:bidi="ar-SA"/>
              </w:rPr>
              <w:t>Rachel Ruamps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shd w:fill="FFFFFF" w:val="clear"/>
                <w:lang w:val="fr-FR" w:eastAsia="en-US" w:bidi="ar-SA"/>
              </w:rPr>
              <w:t>Romain Agogué</w:t>
            </w:r>
          </w:p>
        </w:tc>
        <w:tc>
          <w:tcPr>
            <w:tcW w:w="203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shd w:fill="FFFFFF" w:val="clear"/>
                <w:lang w:val="fr-FR" w:eastAsia="en-US" w:bidi="ar-SA"/>
              </w:rPr>
              <w:t>Ronan Guerneur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</w:r>
          </w:p>
        </w:tc>
        <w:tc>
          <w:tcPr>
            <w:tcW w:w="4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</w:r>
          </w:p>
        </w:tc>
      </w:tr>
      <w:tr>
        <w:trPr>
          <w:trHeight w:val="1805" w:hRule="atLeast"/>
        </w:trPr>
        <w:tc>
          <w:tcPr>
            <w:tcW w:w="25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  <w:shd w:fill="FFFFFF" w:val="clear"/>
              </w:rPr>
            </w:pPr>
            <w:r>
              <w:rPr>
                <w:sz w:val="22"/>
              </w:rPr>
              <w:drawing>
                <wp:anchor behindDoc="0" distT="0" distB="0" distL="114300" distR="114300" simplePos="0" locked="0" layoutInCell="0" allowOverlap="1" relativeHeight="2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63500</wp:posOffset>
                  </wp:positionV>
                  <wp:extent cx="1127125" cy="996950"/>
                  <wp:effectExtent l="0" t="0" r="0" b="0"/>
                  <wp:wrapSquare wrapText="bothSides"/>
                  <wp:docPr id="2" name="Picture 2" descr="Q ENERGY (France) sur LinkedIn : #cne2023 #repowering #solarharvest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 ENERGY (France) sur LinkedIn : #cne2023 #repowering #solarharvest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56824" t="5759" r="3968" b="27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1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drawing>
                <wp:anchor behindDoc="0" distT="0" distB="0" distL="114300" distR="114300" simplePos="0" locked="0" layoutInCell="0" allowOverlap="1" relativeHeight="3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70485</wp:posOffset>
                  </wp:positionV>
                  <wp:extent cx="780415" cy="1026160"/>
                  <wp:effectExtent l="0" t="0" r="0" b="0"/>
                  <wp:wrapSquare wrapText="bothSides"/>
                  <wp:docPr id="3" name="Picture 1" descr="A person smiling with her arms cross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person smiling with her arms crosse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4076" t="6979" r="37972" b="18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2835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drawing>
                <wp:anchor behindDoc="0" distT="0" distB="0" distL="114300" distR="114300" simplePos="0" locked="0" layoutInCell="0" allowOverlap="1" relativeHeight="4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66040</wp:posOffset>
                  </wp:positionV>
                  <wp:extent cx="688340" cy="990600"/>
                  <wp:effectExtent l="0" t="0" r="0" b="0"/>
                  <wp:wrapTight wrapText="bothSides">
                    <wp:wrapPolygon edited="0">
                      <wp:start x="-179" y="0"/>
                      <wp:lineTo x="-179" y="21091"/>
                      <wp:lineTo x="20893" y="21091"/>
                      <wp:lineTo x="20893" y="0"/>
                      <wp:lineTo x="-179" y="0"/>
                    </wp:wrapPolygon>
                  </wp:wrapTight>
                  <wp:docPr id="4" name="Image2" descr="A person in a suit smil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A person in a suit smil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5340" t="5323" r="9975" b="5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9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114300</wp:posOffset>
                  </wp:positionV>
                  <wp:extent cx="897255" cy="1009650"/>
                  <wp:effectExtent l="0" t="0" r="0" b="0"/>
                  <wp:wrapSquare wrapText="largest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45" w:type="dxa"/>
            <w:tcBorders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  <w:tr>
        <w:trPr>
          <w:trHeight w:val="2325" w:hRule="atLeast"/>
        </w:trPr>
        <w:tc>
          <w:tcPr>
            <w:tcW w:w="259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IBM Plex Sans Medium" w:hAnsi="IBM Plex Sans Medium"/>
                <w:sz w:val="18"/>
                <w:szCs w:val="18"/>
                <w:lang w:val="fr-FR"/>
              </w:rPr>
            </w:pPr>
            <w:r>
              <w:rPr>
                <w:rFonts w:cs="Arial" w:ascii="IBM Plex Sans Medium" w:hAnsi="IBM Plex Sans Medium"/>
                <w:b/>
                <w:bCs/>
                <w:sz w:val="18"/>
                <w:szCs w:val="18"/>
                <w:shd w:fill="FFFFFF" w:val="clear"/>
              </w:rPr>
              <w:t>Q ENERGY France</w:t>
            </w: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 xml:space="preserve">.           Elle est actuellement responsable du développement de l'activité repowering et partenariats </w:t>
            </w: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  <w:lang w:val="fr-FR"/>
              </w:rPr>
              <w:t>et pilote le groupe de travail dédié au repowering de France Renouvelables.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sz w:val="22"/>
              </w:rPr>
            </w:pP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>Permanente à</w:t>
            </w:r>
            <w:r>
              <w:rPr>
                <w:rFonts w:cs="Arial" w:ascii="IBM Plex Sans Medium" w:hAnsi="IBM Plex Sans Medium"/>
                <w:b/>
                <w:bCs/>
                <w:sz w:val="18"/>
                <w:szCs w:val="18"/>
                <w:shd w:fill="FFFFFF" w:val="clear"/>
              </w:rPr>
              <w:t xml:space="preserve"> France Renouvelables</w:t>
            </w: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 xml:space="preserve">,  elle anime la Commission économie, fiscalité et PPA.  </w:t>
            </w: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  <w:lang w:val="fr-FR"/>
              </w:rPr>
              <w:t>Elle travaille sur les questions industrielles des filières éoliennes et photovoltaïques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IBM Plex Sans Medium" w:hAnsi="IBM Plex Sans Medium"/>
                <w:sz w:val="18"/>
                <w:szCs w:val="18"/>
                <w:lang w:val="fr-FR"/>
              </w:rPr>
            </w:pP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 xml:space="preserve">Il dirige actuellement chez </w:t>
            </w:r>
            <w:r>
              <w:rPr>
                <w:rFonts w:cs="Arial" w:ascii="IBM Plex Sans Medium" w:hAnsi="IBM Plex Sans Medium"/>
                <w:b/>
                <w:bCs/>
                <w:sz w:val="18"/>
                <w:szCs w:val="18"/>
                <w:shd w:fill="FFFFFF" w:val="clear"/>
              </w:rPr>
              <w:t>IPC</w:t>
            </w: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 xml:space="preserve"> le programme composites pour l'économie circulaire et contribue à des projets de R&amp;D et de normalisation sur les composites. Il est également impliqué dans la mise en place d'une filière de recyclage des composites en France.</w:t>
            </w:r>
          </w:p>
        </w:tc>
        <w:tc>
          <w:tcPr>
            <w:tcW w:w="203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200"/>
              <w:jc w:val="center"/>
              <w:rPr>
                <w:rFonts w:ascii="IBM Plex Sans Medium" w:hAnsi="IBM Plex Sans Medium"/>
                <w:sz w:val="18"/>
                <w:szCs w:val="18"/>
                <w:lang w:val="fr-FR"/>
              </w:rPr>
            </w:pP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 xml:space="preserve">chez </w:t>
            </w:r>
            <w:r>
              <w:rPr>
                <w:rFonts w:cs="Arial" w:ascii="IBM Plex Sans Medium" w:hAnsi="IBM Plex Sans Medium"/>
                <w:b/>
                <w:bCs/>
                <w:sz w:val="18"/>
                <w:szCs w:val="18"/>
                <w:shd w:fill="FFFFFF" w:val="clear"/>
              </w:rPr>
              <w:t>Suez.</w:t>
            </w:r>
          </w:p>
          <w:p>
            <w:pPr>
              <w:pStyle w:val="Normal"/>
              <w:suppressAutoHyphens w:val="true"/>
              <w:spacing w:before="0" w:after="200"/>
              <w:jc w:val="center"/>
              <w:rPr>
                <w:rFonts w:ascii="IBM Plex Sans Medium" w:hAnsi="IBM Plex Sans Medium"/>
                <w:sz w:val="18"/>
                <w:szCs w:val="18"/>
                <w:lang w:val="fr-FR"/>
              </w:rPr>
            </w:pP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 xml:space="preserve">Où il a dirigé le démantèlement ferroviaire  avant de devenir responsable de l'activité éolienne de </w:t>
            </w:r>
            <w:r>
              <w:rPr>
                <w:rFonts w:cs="Arial" w:ascii="IBM Plex Sans Medium" w:hAnsi="IBM Plex Sans Medium"/>
                <w:b/>
                <w:bCs/>
                <w:sz w:val="18"/>
                <w:szCs w:val="18"/>
                <w:shd w:fill="FFFFFF" w:val="clear"/>
              </w:rPr>
              <w:t>Suez</w:t>
            </w:r>
            <w:r>
              <w:rPr>
                <w:rFonts w:cs="Arial" w:ascii="IBM Plex Sans Medium" w:hAnsi="IBM Plex Sans Medium"/>
                <w:sz w:val="18"/>
                <w:szCs w:val="18"/>
                <w:shd w:fill="FFFFFF" w:val="clear"/>
              </w:rPr>
              <w:t xml:space="preserve"> en France.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  <w:tc>
          <w:tcPr>
            <w:tcW w:w="4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shd w:fill="FFFFFF" w:val="clear"/>
              </w:rPr>
            </w:pPr>
            <w:r>
              <w:rPr>
                <w:rFonts w:cs="Arial" w:ascii="Arial" w:hAnsi="Arial"/>
                <w:sz w:val="20"/>
                <w:szCs w:val="20"/>
                <w:shd w:fill="FFFFFF" w:val="clear"/>
              </w:rPr>
            </w:r>
          </w:p>
        </w:tc>
      </w:tr>
    </w:tbl>
    <w:p>
      <w:pPr>
        <w:pStyle w:val="Normal"/>
        <w:spacing w:before="0" w:after="57"/>
        <w:jc w:val="center"/>
        <w:rPr/>
      </w:pPr>
      <w:r>
        <w:rPr>
          <w:rFonts w:ascii="IBM Plex Sans Medium" w:hAnsi="IBM Plex Sans Medium"/>
          <w:i/>
          <w:sz w:val="20"/>
          <w:szCs w:val="18"/>
          <w:lang w:val="fr-FR"/>
        </w:rPr>
        <w:t xml:space="preserve">nos intervenants répondront également aux questions que vous vous posez. </w:t>
      </w:r>
    </w:p>
    <w:p>
      <w:pPr>
        <w:pStyle w:val="Normal"/>
        <w:spacing w:before="0" w:after="57"/>
        <w:jc w:val="center"/>
        <w:rPr>
          <w:rFonts w:ascii="IBM Plex Sans Medium" w:hAnsi="IBM Plex Sans Medium"/>
          <w:i/>
          <w:i/>
          <w:sz w:val="20"/>
          <w:szCs w:val="18"/>
        </w:rPr>
      </w:pPr>
      <w:r>
        <w:rPr>
          <w:rFonts w:ascii="IBM Plex Sans Medium" w:hAnsi="IBM Plex Sans Medium"/>
          <w:i/>
          <w:sz w:val="20"/>
          <w:szCs w:val="18"/>
        </w:rPr>
        <w:t xml:space="preserve">Le panel sera animé par </w:t>
      </w:r>
      <w:r>
        <w:rPr>
          <w:rFonts w:ascii="IBM Plex Sans Medium" w:hAnsi="IBM Plex Sans Medium"/>
          <w:b/>
          <w:bCs/>
          <w:i/>
          <w:sz w:val="20"/>
          <w:szCs w:val="18"/>
        </w:rPr>
        <w:t>Jean-Antoine Bord</w:t>
      </w:r>
      <w:r>
        <w:rPr>
          <w:rFonts w:ascii="IBM Plex Sans Medium" w:hAnsi="IBM Plex Sans Medium"/>
          <w:i/>
          <w:sz w:val="20"/>
          <w:szCs w:val="18"/>
        </w:rPr>
        <w:t xml:space="preserve"> de Centrale Energies. </w:t>
      </w:r>
    </w:p>
    <w:p>
      <w:pPr>
        <w:pStyle w:val="Normal"/>
        <w:spacing w:before="0" w:after="57"/>
        <w:jc w:val="left"/>
        <w:rPr>
          <w:rFonts w:ascii="Arial" w:hAnsi="Arial" w:cs="Arial"/>
          <w:sz w:val="18"/>
          <w:szCs w:val="18"/>
          <w:shd w:fill="FFFFFF" w:val="clear"/>
        </w:rPr>
      </w:pPr>
      <w:r>
        <w:rPr>
          <w:rFonts w:cs="Arial" w:ascii="Arial" w:hAnsi="Arial"/>
          <w:b/>
          <w:bCs/>
          <w:color w:val="C00000"/>
          <w:sz w:val="24"/>
          <w:szCs w:val="24"/>
          <w:u w:val="single"/>
          <w:shd w:fill="FFFFFF" w:val="clear"/>
        </w:rPr>
        <w:t>Quand</w:t>
      </w:r>
      <w:r>
        <w:rPr>
          <w:rFonts w:cs="Arial" w:ascii="Arial" w:hAnsi="Arial"/>
          <w:b/>
          <w:bCs/>
          <w:color w:val="C00000"/>
          <w:sz w:val="24"/>
          <w:szCs w:val="24"/>
          <w:shd w:fill="FFFFFF" w:val="clear"/>
        </w:rPr>
        <w:t xml:space="preserve"> : Le mardi 11 mars de 19h à 21h                                                                                                            </w:t>
      </w:r>
    </w:p>
    <w:p>
      <w:pPr>
        <w:pStyle w:val="Normal"/>
        <w:jc w:val="left"/>
        <w:rPr>
          <w:rFonts w:ascii="Arial" w:hAnsi="Arial" w:cs="Arial"/>
          <w:b/>
          <w:bCs/>
          <w:color w:val="C00000"/>
          <w:sz w:val="24"/>
          <w:szCs w:val="24"/>
          <w:shd w:fill="FFFFFF" w:val="clear"/>
        </w:rPr>
      </w:pPr>
      <w:r>
        <w:rPr>
          <w:rFonts w:cs="Arial" w:ascii="Arial" w:hAnsi="Arial"/>
          <w:b/>
          <w:bCs/>
          <w:color w:val="C00000"/>
          <w:sz w:val="24"/>
          <w:szCs w:val="24"/>
          <w:u w:val="single"/>
          <w:shd w:fill="FFFFFF" w:val="clear"/>
        </w:rPr>
        <w:t>Où</w:t>
      </w:r>
      <w:r>
        <w:rPr>
          <w:rFonts w:cs="Arial" w:ascii="Arial" w:hAnsi="Arial"/>
          <w:b/>
          <w:bCs/>
          <w:color w:val="C00000"/>
          <w:sz w:val="24"/>
          <w:szCs w:val="24"/>
          <w:shd w:fill="FFFFFF" w:val="clear"/>
        </w:rPr>
        <w:t xml:space="preserve"> : Le webinaire aura lieu sur ZOOM </w:t>
      </w:r>
      <w:r>
        <w:rPr/>
        <w:t xml:space="preserve"> </w:t>
      </w:r>
      <w:r>
        <w:rPr>
          <w:b/>
          <w:color w:val="43404D"/>
          <w:sz w:val="20"/>
        </w:rPr>
        <w:t xml:space="preserve">Après votre inscription vous recevrez le lien pour vous connecter. </w:t>
      </w:r>
    </w:p>
    <w:p>
      <w:pPr>
        <w:pStyle w:val="Default"/>
        <w:jc w:val="left"/>
        <w:rPr>
          <w:rFonts w:ascii="Verdana" w:hAnsi="Verdana"/>
          <w:b w:val="false"/>
          <w:strike w:val="false"/>
          <w:dstrike w:val="false"/>
          <w:color w:val="0000FF"/>
          <w:sz w:val="20"/>
          <w:u w:val="none"/>
        </w:rPr>
      </w:pPr>
      <w:r>
        <w:rPr>
          <w:rFonts w:ascii="Verdana" w:hAnsi="Verdana"/>
          <w:b/>
          <w:strike w:val="false"/>
          <w:dstrike w:val="false"/>
          <w:sz w:val="20"/>
          <w:u w:val="none"/>
        </w:rPr>
        <w:t xml:space="preserve">Pour vous inscrire au webinaire, merci de remplir le formulaire accessible en cliquant sur le lien ci-après : </w:t>
      </w:r>
      <w:hyperlink r:id="rId7">
        <w:r>
          <w:rPr>
            <w:rStyle w:val="Hyperlink"/>
            <w:rFonts w:ascii="Verdana" w:hAnsi="Verdana"/>
            <w:b/>
            <w:strike w:val="false"/>
            <w:dstrike w:val="false"/>
            <w:sz w:val="20"/>
            <w:u w:val="none"/>
          </w:rPr>
          <w:t xml:space="preserve"> </w:t>
        </w:r>
        <w:r>
          <w:rPr>
            <w:rStyle w:val="Hyperlink"/>
            <w:rFonts w:ascii="Verdana" w:hAnsi="Verdana"/>
            <w:b/>
            <w:strike w:val="false"/>
            <w:dstrike w:val="false"/>
            <w:color w:val="2A6099"/>
            <w:sz w:val="20"/>
            <w:u w:val="none"/>
          </w:rPr>
          <w:t>inscription au webinaire</w:t>
        </w:r>
      </w:hyperlink>
    </w:p>
    <w:p>
      <w:pPr>
        <w:pStyle w:val="Default"/>
        <w:spacing w:before="0" w:after="200"/>
        <w:jc w:val="left"/>
        <w:rPr>
          <w:rFonts w:ascii="Verdana" w:hAnsi="Verdana"/>
          <w:b w:val="false"/>
          <w:strike w:val="false"/>
          <w:dstrike w:val="false"/>
          <w:color w:val="0000FF"/>
          <w:sz w:val="20"/>
          <w:u w:val="none"/>
        </w:rPr>
      </w:pPr>
      <w:r>
        <w:rPr>
          <w:rFonts w:ascii="Verdana" w:hAnsi="Verdana"/>
          <w:b/>
          <w:strike w:val="false"/>
          <w:dstrike w:val="false"/>
          <w:sz w:val="20"/>
          <w:u w:val="none"/>
        </w:rPr>
        <w:t>L’événement est gratuit, néanmoins une participation libre est suggérée (</w:t>
      </w:r>
      <w:r>
        <w:rPr>
          <w:b w:val="false"/>
          <w:strike w:val="false"/>
          <w:dstrike w:val="false"/>
          <w:color w:val="43404D"/>
          <w:sz w:val="23"/>
          <w:u w:val="none"/>
        </w:rPr>
        <w:t xml:space="preserve">Centrale Energies, HEC Transition et Sciences-Po  Énergie, Infrastructure et Mobilités  sont des associations de bénévoles, mais ont tout de même quelques frais)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auto"/>
    <w:pitch w:val="variable"/>
  </w:font>
  <w:font w:name="Verdana">
    <w:charset w:val="00"/>
    <w:family w:val="swiss"/>
    <w:pitch w:val="variable"/>
  </w:font>
  <w:font w:name="IBM Plex Sans Medium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539d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539de"/>
    <w:rPr>
      <w:color w:val="605E5C"/>
      <w:shd w:fill="E1DFDD" w:val="clear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rsid w:val="000254da"/>
    <w:pPr>
      <w:spacing w:lineRule="auto" w:line="240"/>
    </w:pPr>
    <w:rPr>
      <w:i/>
      <w:iCs/>
      <w:color w:themeColor="text2" w:val="1F497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6a4a5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paragraph" w:styleId="ListParagraph">
    <w:name w:val="List Paragraph"/>
    <w:basedOn w:val="Normal"/>
    <w:uiPriority w:val="34"/>
    <w:qFormat/>
    <w:rsid w:val="00553745"/>
    <w:pPr>
      <w:spacing w:before="0" w:after="200"/>
      <w:ind w:left="720"/>
      <w:contextualSpacing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Georgia" w:hAnsi="Georgia" w:eastAsia="Calibri" w:cs=""/>
      <w:color w:val="000000"/>
      <w:kern w:val="2"/>
      <w:sz w:val="24"/>
      <w:szCs w:val="22"/>
      <w:lang w:val="fr-FR" w:eastAsia="en-US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810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hyperlink" Target="https://my.weezevent.com/le-recyclage-des-eoliennes-en-france-mardi-11-mars-2025?_gl=1*1tlmzhb*_gcl_au*NDU0Njc4ODUuMTczOTYwOTc5OS4xMDY5Njg4NTUuMTczOTYwOTgwNS4xNzM5NjA5ODEz*_ga*MTk1NTgzNzA3My4xNzM5NjA5Nzk5*_ga_39H9VBFX7G*MTczOTYwOTc5OC4xLjEuMTczOTYxMDg1MS41OS4wLjkwNjg5ODI3MQ..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Application>LibreOffice/24.8.4.2$Windows_X86_64 LibreOffice_project/bb3cfa12c7b1bf994ecc5649a80400d06cd71002</Application>
  <AppVersion>15.0000</AppVersion>
  <Pages>1</Pages>
  <Words>412</Words>
  <Characters>2270</Characters>
  <CharactersWithSpaces>2852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2024-12-20T19:00:00Z</dcterms:created>
  <dc:creator>Nosriop</dc:creator>
  <dc:description/>
  <dc:language>fr-FR</dc:language>
  <cp:lastModifiedBy/>
  <cp:lastPrinted>2025-02-15T12:08:56Z</cp:lastPrinted>
  <dcterms:modified xsi:type="dcterms:W3CDTF">2025-02-15T19:18:52Z</dcterms:modified>
  <cp:revision>24</cp:revision>
  <dc:subject/>
  <dc:title>Réunion d’information 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